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Whistleblowing Policy</w:t>
      </w:r>
    </w:p>
    <w:p>
      <w:pPr>
        <w:pStyle w:val="Subtitle"/>
      </w:pPr>
      <w:r>
        <w:t>East to West European Association Ltd</w:t>
      </w:r>
    </w:p>
    <w:tbl>
      <w:tblPr>
        <w:tblW w:type="auto" w:w="0"/>
        <w:jc w:val="center"/>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952"/>
        <w:gridCol w:w="6552"/>
      </w:tblGrid>
      <w:tr>
        <w:tc>
          <w:tcPr>
            <w:tcW w:type="dxa" w:w="4882"/>
            <w:shd w:val="clear" w:color="auto" w:fill="F5EFE2"/>
            <w:tcMar>
              <w:top w:w="110" w:type="dxa"/>
              <w:left w:w="140" w:type="dxa"/>
              <w:bottom w:w="110" w:type="dxa"/>
              <w:right w:w="140" w:type="dxa"/>
            </w:tcMar>
            <w:vAlign w:val="center"/>
          </w:tcPr>
          <w:p>
            <w:r>
              <w:rPr>
                <w:b/>
              </w:rPr>
              <w:t>Document owner</w:t>
            </w:r>
          </w:p>
        </w:tc>
        <w:tc>
          <w:tcPr>
            <w:tcW w:type="dxa" w:w="4882"/>
            <w:tcMar>
              <w:top w:w="110" w:type="dxa"/>
              <w:left w:w="140" w:type="dxa"/>
              <w:bottom w:w="110" w:type="dxa"/>
              <w:right w:w="140" w:type="dxa"/>
            </w:tcMar>
            <w:vAlign w:val="center"/>
          </w:tcPr>
          <w:p>
            <w:r>
              <w:t>Board of Directors and Whistleblowing Contact</w:t>
            </w:r>
          </w:p>
        </w:tc>
      </w:tr>
      <w:tr>
        <w:tc>
          <w:tcPr>
            <w:tcW w:type="dxa" w:w="4882"/>
            <w:shd w:val="clear" w:color="auto" w:fill="F5EFE2"/>
            <w:tcMar>
              <w:top w:w="110" w:type="dxa"/>
              <w:left w:w="140" w:type="dxa"/>
              <w:bottom w:w="110" w:type="dxa"/>
              <w:right w:w="140" w:type="dxa"/>
            </w:tcMar>
            <w:vAlign w:val="center"/>
          </w:tcPr>
          <w:p>
            <w:r>
              <w:rPr>
                <w:b/>
              </w:rPr>
              <w:t>Version</w:t>
            </w:r>
          </w:p>
        </w:tc>
        <w:tc>
          <w:tcPr>
            <w:tcW w:type="dxa" w:w="4882"/>
            <w:tcMar>
              <w:top w:w="110" w:type="dxa"/>
              <w:left w:w="140" w:type="dxa"/>
              <w:bottom w:w="110" w:type="dxa"/>
              <w:right w:w="140" w:type="dxa"/>
            </w:tcMar>
            <w:vAlign w:val="center"/>
          </w:tcPr>
          <w:p>
            <w:r>
              <w:t>1.0</w:t>
            </w:r>
          </w:p>
        </w:tc>
      </w:tr>
      <w:tr>
        <w:tc>
          <w:tcPr>
            <w:tcW w:type="dxa" w:w="4882"/>
            <w:shd w:val="clear" w:color="auto" w:fill="F5EFE2"/>
            <w:tcMar>
              <w:top w:w="110" w:type="dxa"/>
              <w:left w:w="140" w:type="dxa"/>
              <w:bottom w:w="110" w:type="dxa"/>
              <w:right w:w="140" w:type="dxa"/>
            </w:tcMar>
            <w:vAlign w:val="center"/>
          </w:tcPr>
          <w:p>
            <w:r>
              <w:rPr>
                <w:b/>
              </w:rPr>
              <w:t>Approval status</w:t>
            </w:r>
          </w:p>
        </w:tc>
        <w:tc>
          <w:tcPr>
            <w:tcW w:type="dxa" w:w="4882"/>
            <w:tcMar>
              <w:top w:w="110" w:type="dxa"/>
              <w:left w:w="140" w:type="dxa"/>
              <w:bottom w:w="110" w:type="dxa"/>
              <w:right w:w="140" w:type="dxa"/>
            </w:tcMar>
            <w:vAlign w:val="center"/>
          </w:tcPr>
          <w:p>
            <w:r>
              <w:t>Approved by the Board of Directors</w:t>
            </w:r>
          </w:p>
        </w:tc>
      </w:tr>
      <w:tr>
        <w:tc>
          <w:tcPr>
            <w:tcW w:type="dxa" w:w="4882"/>
            <w:shd w:val="clear" w:color="auto" w:fill="F5EFE2"/>
            <w:tcMar>
              <w:top w:w="110" w:type="dxa"/>
              <w:left w:w="140" w:type="dxa"/>
              <w:bottom w:w="110" w:type="dxa"/>
              <w:right w:w="140" w:type="dxa"/>
            </w:tcMar>
            <w:vAlign w:val="center"/>
          </w:tcPr>
          <w:p>
            <w:r>
              <w:rPr>
                <w:b/>
              </w:rPr>
              <w:t>Approval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Effective date</w:t>
            </w:r>
          </w:p>
        </w:tc>
        <w:tc>
          <w:tcPr>
            <w:tcW w:type="dxa" w:w="4882"/>
            <w:tcMar>
              <w:top w:w="110" w:type="dxa"/>
              <w:left w:w="140" w:type="dxa"/>
              <w:bottom w:w="110" w:type="dxa"/>
              <w:right w:w="140" w:type="dxa"/>
            </w:tcMar>
            <w:vAlign w:val="center"/>
          </w:tcPr>
          <w:p>
            <w:r>
              <w:t>3 August 2026</w:t>
            </w:r>
          </w:p>
        </w:tc>
      </w:tr>
      <w:tr>
        <w:tc>
          <w:tcPr>
            <w:tcW w:type="dxa" w:w="4882"/>
            <w:shd w:val="clear" w:color="auto" w:fill="F5EFE2"/>
            <w:tcMar>
              <w:top w:w="110" w:type="dxa"/>
              <w:left w:w="140" w:type="dxa"/>
              <w:bottom w:w="110" w:type="dxa"/>
              <w:right w:w="140" w:type="dxa"/>
            </w:tcMar>
            <w:vAlign w:val="center"/>
          </w:tcPr>
          <w:p>
            <w:r>
              <w:rPr>
                <w:b/>
              </w:rPr>
              <w:t>Next review date</w:t>
            </w:r>
          </w:p>
        </w:tc>
        <w:tc>
          <w:tcPr>
            <w:tcW w:type="dxa" w:w="4882"/>
            <w:tcMar>
              <w:top w:w="110" w:type="dxa"/>
              <w:left w:w="140" w:type="dxa"/>
              <w:bottom w:w="110" w:type="dxa"/>
              <w:right w:w="140" w:type="dxa"/>
            </w:tcMar>
            <w:vAlign w:val="center"/>
          </w:tcPr>
          <w:p>
            <w:r>
              <w:t>3 August 2027, or earlier if required</w:t>
            </w:r>
          </w:p>
        </w:tc>
      </w:tr>
    </w:tbl>
    <w:p>
      <w:r>
        <w:rPr>
          <w:b/>
        </w:rPr>
        <w:t xml:space="preserve">Registered office  </w:t>
      </w:r>
      <w:r>
        <w:t xml:space="preserve">36 Broad Mead, Luton LU3 1RX · etweassociation@gmail.com</w:t>
      </w:r>
    </w:p>
    <w:p>
      <w:pPr>
        <w:spacing w:before="160" w:after="200"/>
        <w:jc w:val="center"/>
      </w:pPr>
      <w:r>
        <w:drawing>
          <wp:inline distT="0" distB="0" distL="0" distR="0">
            <wp:extent cx="5580126" cy="2337452"/>
            <wp:effectExtent l="0" t="0" r="0" b="0"/>
            <wp:docPr id="133" name="Policy at a glance" descr="Policy at a gl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olicy at a glance"/>
                    <pic:cNvPicPr/>
                  </pic:nvPicPr>
                  <pic:blipFill>
                    <a:blip r:embed="rIdGraphic"/>
                    <a:stretch>
                      <a:fillRect/>
                    </a:stretch>
                  </pic:blipFill>
                  <pic:spPr>
                    <a:xfrm>
                      <a:off x="0" y="0"/>
                      <a:ext cx="5580126" cy="2337452"/>
                    </a:xfrm>
                    <a:prstGeom prst="rect">
                      <a:avLst/>
                    </a:prstGeom>
                  </pic:spPr>
                </pic:pic>
              </a:graphicData>
            </a:graphic>
          </wp:inline>
        </w:drawing>
      </w:r>
    </w:p>
    <w:p>
      <w:pPr>
        <w:pStyle w:val="Heading1"/>
      </w:pPr>
      <w:r>
        <w:t>1 Purpose</w:t>
      </w:r>
    </w:p>
    <w:p>
      <w:r>
        <w:t>This policy provides a safe route for workers and volunteers to raise serious concerns about wrongdoing connected with the Association. It supports early reporting, lawful investigation and protection from retaliation. It does not replace personal grievance, safeguarding or complaints procedures, although concerns may overlap.</w:t>
      </w:r>
    </w:p>
    <w:p>
      <w:pPr>
        <w:pStyle w:val="Heading1"/>
      </w:pPr>
      <w:r>
        <w:t>2 Protected disclosures</w:t>
      </w:r>
    </w:p>
    <w:p>
      <w:r>
        <w:t>Under Part IVA of the Employment Rights Act 1996, a qualifying disclosure is information which the worker reasonably believes tends to show specified wrongdoing and is made in the public interest. Wrongdoing may include a criminal offence, breach of legal obligation, miscarriage of justice, danger to health and safety, environmental damage, or deliberate concealment of any of these. Statutory protection depends on the legal tests and the route used.</w:t>
      </w:r>
    </w:p>
    <w:p>
      <w:pPr>
        <w:pStyle w:val="Heading1"/>
      </w:pPr>
      <w:r>
        <w:t>3 Wider organisational concerns</w:t>
      </w:r>
    </w:p>
    <w:p>
      <w:r>
        <w:t>Volunteers may not always have statutory whistleblowing status, but the Association will apply the same non-retaliation principle to genuine public-interest concerns. Safeguarding, fraud, bribery, serious data breaches, misuse of funds, regulatory breaches and serious concealment should be reported promptly.</w:t>
      </w:r>
    </w:p>
    <w:p>
      <w:pPr>
        <w:pStyle w:val="Heading1"/>
      </w:pPr>
      <w:r>
        <w:t>4 How to report</w:t>
      </w:r>
    </w:p>
    <w:p>
      <w:r>
        <w:t>Concerns should normally be raised with the nominated Whistleblowing Contact or a director. If the concern involves that person, it may be raised with another director or the Board Chair. Reports may be verbal or written and should include the facts, dates, people, evidence, risk and whether the concern was raised before.</w:t>
      </w:r>
    </w:p>
    <w:p>
      <w:pPr>
        <w:pStyle w:val="ListBullet"/>
      </w:pPr>
      <w:r>
        <w:t>Whistleblowing Contact: Mihaela Veronica Pruteanu · +44 7426 957995 · etweassociation@gmail.com</w:t>
      </w:r>
    </w:p>
    <w:p>
      <w:pPr>
        <w:pStyle w:val="ListBullet"/>
      </w:pPr>
      <w:r>
        <w:t>Alternative Board contact: Cristina Giorgiana Tutu · 07760 914627 · etweassociation@gmail.com</w:t>
      </w:r>
    </w:p>
    <w:p>
      <w:pPr>
        <w:pStyle w:val="Heading1"/>
      </w:pPr>
      <w:r>
        <w:t>5 Emergency and external reporting</w:t>
      </w:r>
    </w:p>
    <w:p>
      <w:r>
        <w:t>Immediate danger or suspected crime may be reported to emergency services or police. Safeguarding concerns must follow the Safeguarding Policy. A worker considering external disclosure should seek independent advice because statutory protection depends on conditions. Prescribed persons may include the Health and Safety Executive, the Information Commissioner, HM Revenue and Customs or another regulator according to subject.</w:t>
      </w:r>
    </w:p>
    <w:p>
      <w:pPr>
        <w:pStyle w:val="Heading1"/>
      </w:pPr>
      <w:r>
        <w:t>6 Response</w:t>
      </w:r>
    </w:p>
    <w:p>
      <w:r>
        <w:t>The recipient will acknowledge the concern normally within five working days, assess immediate risk and conflicts, decide the appropriate investigator and explain the next steps where possible. The investigation will be proportionate, independent and documented. The reporter may be asked for further information but is not responsible for proving the case.</w:t>
      </w:r>
    </w:p>
    <w:p>
      <w:pPr>
        <w:pStyle w:val="Heading1"/>
      </w:pPr>
      <w:r>
        <w:t>7 Confidentiality and anonymity</w:t>
      </w:r>
    </w:p>
    <w:p>
      <w:r>
        <w:t>Identity will be protected as far as reasonably possible, but disclosure may be necessary for fair investigation, safeguarding or legal reasons. Anonymous reports will be considered according to seriousness, credibility and available evidence, although anonymity may limit investigation and feedback.</w:t>
      </w:r>
    </w:p>
    <w:p>
      <w:pPr>
        <w:pStyle w:val="Heading1"/>
      </w:pPr>
      <w:r>
        <w:t>8 Protection and support</w:t>
      </w:r>
    </w:p>
    <w:p>
      <w:r>
        <w:t>No worker will be dismissed or subjected to detriment for making a protected disclosure. The Association will not tolerate retaliation against any person raising a genuine concern. Support, temporary working arrangements and reasonable adjustments will be considered. A person who believes they suffered retaliation should report it immediately.</w:t>
      </w:r>
    </w:p>
    <w:p>
      <w:pPr>
        <w:pStyle w:val="Heading1"/>
      </w:pPr>
      <w:r>
        <w:t>9 Outcomes and feedback</w:t>
      </w:r>
    </w:p>
    <w:p>
      <w:r>
        <w:t>Appropriate action may include control improvements, recovery of funds, disciplinary or contractual action, safeguarding referral, regulatory notification or police report. The reporter will receive as much feedback as law, confidentiality and fairness permit. No particular outcome can be guaranteed.</w:t>
      </w:r>
    </w:p>
    <w:p>
      <w:pPr>
        <w:pStyle w:val="Heading1"/>
      </w:pPr>
      <w:r>
        <w:t>10 False allegations and confidentiality breaches</w:t>
      </w:r>
    </w:p>
    <w:p>
      <w:r>
        <w:t>A concern that is mistaken or not upheld will not attract sanction if raised genuinely. Deliberately false or malicious allegations, retaliation, destruction of evidence or inappropriate disclosure of confidential information may be addressed under the relevant conduct procedure.</w:t>
      </w:r>
    </w:p>
    <w:p>
      <w:pPr>
        <w:pStyle w:val="Heading1"/>
      </w:pPr>
      <w:r>
        <w:t>11 Records and Board oversight</w:t>
      </w:r>
    </w:p>
    <w:p>
      <w:r>
        <w:t>Whistleblowing records will be secure and need-to-know. The Board will receive anonymised assurance on concerns, timeliness, actions and themes, while managing conflicts. Serious incidents will be reported to regulators, funders or insurers where required.</w:t>
      </w:r>
    </w:p>
    <w:p>
      <w:pPr>
        <w:pStyle w:val="Heading1"/>
      </w:pPr>
      <w:r>
        <w:t>12 Independent advice</w:t>
      </w:r>
    </w:p>
    <w:p>
      <w:r>
        <w:t>Workers may obtain confidential advice from Acas, a trade union, legal adviser or Protect. Reporting internally is encouraged where safe, but this policy does not prevent a disclosure through a legally protected route.</w:t>
      </w:r>
    </w:p>
    <w:p>
      <w:r>
        <w:br w:type="page"/>
      </w:r>
    </w:p>
    <w:p>
      <w:pPr>
        <w:pStyle w:val="Heading1"/>
      </w:pPr>
      <w:r>
        <w:t>Board approval</w:t>
      </w:r>
    </w:p>
    <w:p>
      <w:r>
        <w:t>This policy was approved by the Board of Directors on 3 August 2026, the date of incorporation, and the approval is recorded in the Board minutes.</w:t>
      </w:r>
    </w:p>
    <w:tbl>
      <w:tblPr>
        <w:tblW w:type="auto" w:w="0"/>
        <w:jc w:val="left"/>
        <w:tblBorders>
          <w:top w:val="single" w:sz="6" w:color="D9D9D9"/>
          <w:left w:val="single" w:sz="6" w:color="D9D9D9"/>
          <w:bottom w:val="single" w:sz="6" w:color="D9D9D9"/>
          <w:right w:val="single" w:sz="6" w:color="D9D9D9"/>
          <w:insideH w:val="single" w:sz="6" w:color="D9D9D9"/>
          <w:insideV w:val="single" w:sz="6" w:color="D9D9D9"/>
        </w:tblBorders>
        <w:tblLayout w:type="fixed"/>
        <w:tblLook w:firstColumn="1" w:firstRow="1" w:lastColumn="0" w:lastRow="0" w:noHBand="0" w:noVBand="1" w:val="04A0"/>
      </w:tblPr>
      <w:tblGrid>
        <w:gridCol w:w="2880"/>
        <w:gridCol w:w="6480"/>
      </w:tblGrid>
      <w:tr>
        <w:tc>
          <w:tcPr>
            <w:tcW w:type="dxa" w:w="4882"/>
            <w:shd w:val="clear" w:color="auto" w:fill="F5EFE2"/>
            <w:tcMar>
              <w:top w:w="110" w:type="dxa"/>
              <w:left w:w="140" w:type="dxa"/>
              <w:bottom w:w="110" w:type="dxa"/>
              <w:right w:w="140" w:type="dxa"/>
            </w:tcMar>
            <w:vAlign w:val="center"/>
          </w:tcPr>
          <w:p>
            <w:r>
              <w:rPr>
                <w:b/>
              </w:rPr>
              <w:t>Approved by</w:t>
            </w:r>
          </w:p>
        </w:tc>
        <w:tc>
          <w:tcPr>
            <w:tcW w:type="dxa" w:w="4882"/>
            <w:tcMar>
              <w:top w:w="110" w:type="dxa"/>
              <w:left w:w="140" w:type="dxa"/>
              <w:bottom w:w="110" w:type="dxa"/>
              <w:right w:w="140" w:type="dxa"/>
            </w:tcMar>
            <w:vAlign w:val="center"/>
          </w:tcPr>
          <w:p>
            <w:r>
              <w:t>Board of Directors</w:t>
            </w:r>
          </w:p>
        </w:tc>
      </w:tr>
      <w:tr>
        <w:tc>
          <w:tcPr>
            <w:tcW w:type="dxa" w:w="4882"/>
            <w:shd w:val="clear" w:color="auto" w:fill="F5EFE2"/>
            <w:tcMar>
              <w:top w:w="110" w:type="dxa"/>
              <w:left w:w="140" w:type="dxa"/>
              <w:bottom w:w="110" w:type="dxa"/>
              <w:right w:w="140" w:type="dxa"/>
            </w:tcMar>
            <w:vAlign w:val="center"/>
          </w:tcPr>
          <w:p>
            <w:r>
              <w:rPr>
                <w:b/>
              </w:rPr>
              <w:t>Director name</w:t>
            </w:r>
          </w:p>
        </w:tc>
        <w:tc>
          <w:tcPr>
            <w:tcW w:type="dxa" w:w="4882"/>
            <w:tcMar>
              <w:top w:w="110" w:type="dxa"/>
              <w:left w:w="140" w:type="dxa"/>
              <w:bottom w:w="110" w:type="dxa"/>
              <w:right w:w="140" w:type="dxa"/>
            </w:tcMar>
            <w:vAlign w:val="center"/>
          </w:tcPr>
          <w:p>
            <w:r>
              <w:t>Mihaela Veronica Pruteanu (Director and Chair) and Cristina Giorgiana Tutu (Director)</w:t>
            </w:r>
          </w:p>
        </w:tc>
      </w:tr>
      <w:tr>
        <w:tc>
          <w:tcPr>
            <w:tcW w:type="dxa" w:w="4882"/>
            <w:shd w:val="clear" w:color="auto" w:fill="F5EFE2"/>
            <w:tcMar>
              <w:top w:w="110" w:type="dxa"/>
              <w:left w:w="140" w:type="dxa"/>
              <w:bottom w:w="110" w:type="dxa"/>
              <w:right w:w="140" w:type="dxa"/>
            </w:tcMar>
            <w:vAlign w:val="center"/>
          </w:tcPr>
          <w:p>
            <w:r>
              <w:rPr>
                <w:b/>
              </w:rPr>
              <w:t>Signature</w:t>
            </w:r>
          </w:p>
        </w:tc>
        <w:tc>
          <w:tcPr>
            <w:tcW w:type="dxa" w:w="4882"/>
            <w:tcMar>
              <w:top w:w="110" w:type="dxa"/>
              <w:left w:w="140" w:type="dxa"/>
              <w:bottom w:w="110" w:type="dxa"/>
              <w:right w:w="140" w:type="dxa"/>
            </w:tcMar>
            <w:vAlign w:val="center"/>
          </w:tcPr>
          <w:p>
            <w:r>
              <w:t>Signed copy held at the registered office</w:t>
            </w:r>
          </w:p>
        </w:tc>
      </w:tr>
      <w:tr>
        <w:tc>
          <w:tcPr>
            <w:tcW w:type="dxa" w:w="4882"/>
            <w:shd w:val="clear" w:color="auto" w:fill="F5EFE2"/>
            <w:tcMar>
              <w:top w:w="110" w:type="dxa"/>
              <w:left w:w="140" w:type="dxa"/>
              <w:bottom w:w="110" w:type="dxa"/>
              <w:right w:w="140" w:type="dxa"/>
            </w:tcMar>
            <w:vAlign w:val="center"/>
          </w:tcPr>
          <w:p>
            <w:r>
              <w:rPr>
                <w:b/>
              </w:rPr>
              <w:t>Date</w:t>
            </w:r>
          </w:p>
        </w:tc>
        <w:tc>
          <w:tcPr>
            <w:tcW w:type="dxa" w:w="4882"/>
            <w:tcMar>
              <w:top w:w="110" w:type="dxa"/>
              <w:left w:w="140" w:type="dxa"/>
              <w:bottom w:w="110" w:type="dxa"/>
              <w:right w:w="140" w:type="dxa"/>
            </w:tcMar>
            <w:vAlign w:val="center"/>
          </w:tcPr>
          <w:p>
            <w:r>
              <w:t>3 August 2026</w:t>
            </w:r>
          </w:p>
        </w:tc>
      </w:tr>
    </w:tbl>
    <w:sectPr w:rsidR="00FC693F" w:rsidRPr="0006063C" w:rsidSect="00034616">
      <w:headerReference w:type="default" r:id="rId9"/>
      <w:footerReference w:type="default" r:id="rId10"/>
      <w:pgSz w:w="12240" w:h="15840"/>
      <w:pgMar w:top="1181" w:right="1238" w:bottom="1037"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pPr>
    <w:r>
      <w:drawing>
        <wp:inline distT="0" distB="0" distL="0" distR="0">
          <wp:extent cx="6200140" cy="41334"/>
          <wp:effectExtent l="0" t="0" r="0" b="0"/>
          <wp:docPr id="136"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ETWE colour rule"/>
                  <pic:cNvPicPr/>
                </pic:nvPicPr>
                <pic:blipFill>
                  <a:blip r:embed="rIdRule"/>
                  <a:stretch>
                    <a:fillRect/>
                  </a:stretch>
                </pic:blipFill>
                <pic:spPr>
                  <a:xfrm>
                    <a:off x="0" y="0"/>
                    <a:ext cx="6200140" cy="41334"/>
                  </a:xfrm>
                  <a:prstGeom prst="rect">
                    <a:avLst/>
                  </a:prstGeom>
                </pic:spPr>
              </pic:pic>
            </a:graphicData>
          </a:graphic>
        </wp:inline>
      </w:drawing>
    </w:r>
  </w:p>
  <w:p>
    <w:pPr>
      <w:pStyle w:val="Footer"/>
      <w:spacing w:after="0"/>
      <w:jc w:val="center"/>
    </w:pPr>
    <w:r>
      <w:rPr>
        <w:rFonts w:ascii="Aptos" w:hAnsi="Aptos"/>
        <w:b/>
        <w:color w:val="1B2836"/>
        <w:sz w:val="16"/>
      </w:rPr>
      <w:t>East to West European Association Ltd</w:t>
    </w:r>
    <w:r>
      <w:rPr>
        <w:rFonts w:ascii="Aptos" w:hAnsi="Aptos"/>
        <w:color w:val="5B6672"/>
        <w:sz w:val="16"/>
      </w:rPr>
      <w:t xml:space="preserve">  ·  36 Broad Mead, Luton LU3 1RX  ·  Company no. 17378486</w:t>
    </w:r>
  </w:p>
  <w:p>
    <w:pPr>
      <w:pStyle w:val="Footer"/>
      <w:jc w:val="center"/>
    </w:pPr>
    <w:r>
      <w:rPr>
        <w:rFonts w:ascii="Aptos" w:hAnsi="Aptos"/>
        <w:color w:val="5B6672"/>
        <w:sz w:val="16"/>
      </w:rPr>
      <w:t xml:space="preserve">etweassociation@gmail.com  ·  www.etweassociation.org  ·  Page </w:t>
    </w:r>
    <w:r>
      <w:rPr>
        <w:color w:val="5B6672"/>
        <w:sz w:val="16"/>
      </w:rPr>
      <w:fldChar w:fldCharType="begin"/>
    </w:r>
    <w:r>
      <w:rPr>
        <w:color w:val="5B6672"/>
        <w:sz w:val="16"/>
      </w:rPr>
      <w:instrText xml:space="preserve">PAGE</w:instrText>
    </w:r>
    <w:r>
      <w:rPr>
        <w:color w:val="5B6672"/>
        <w:sz w:val="16"/>
      </w:rPr>
      <w:fldChar w:fldCharType="separate"/>
    </w:r>
    <w:r>
      <w:rPr>
        <w:color w:val="5B6672"/>
        <w:sz w:val="16"/>
      </w:rPr>
      <w:t>1</w:t>
    </w:r>
    <w:r>
      <w:rPr>
        <w:color w:val="5B6672"/>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60"/>
    </w:pPr>
    <w:r>
      <w:drawing>
        <wp:inline distT="0" distB="0" distL="0" distR="0">
          <wp:extent cx="384048" cy="384048"/>
          <wp:effectExtent l="0" t="0" r="0" b="0"/>
          <wp:docPr id="134" name="ETWE logo" descr="ETW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ETWE logo"/>
                  <pic:cNvPicPr/>
                </pic:nvPicPr>
                <pic:blipFill>
                  <a:blip r:embed="rIdLogo"/>
                  <a:stretch>
                    <a:fillRect/>
                  </a:stretch>
                </pic:blipFill>
                <pic:spPr>
                  <a:xfrm>
                    <a:off x="0" y="0"/>
                    <a:ext cx="384048" cy="384048"/>
                  </a:xfrm>
                  <a:prstGeom prst="rect">
                    <a:avLst/>
                  </a:prstGeom>
                </pic:spPr>
              </pic:pic>
            </a:graphicData>
          </a:graphic>
        </wp:inline>
      </w:drawing>
    </w:r>
    <w:r>
      <w:rPr>
        <w:rFonts w:ascii="Aptos" w:hAnsi="Aptos"/>
        <w:b/>
        <w:color w:val="1B2836"/>
        <w:sz w:val="20"/>
      </w:rPr>
      <w:t xml:space="preserve">   EAST TO WEST EUROPEAN ASSOCIATION</w:t>
    </w:r>
  </w:p>
  <w:p>
    <w:pPr>
      <w:pStyle w:val="Header"/>
      <w:spacing w:after="0"/>
    </w:pPr>
    <w:r>
      <w:drawing>
        <wp:inline distT="0" distB="0" distL="0" distR="0">
          <wp:extent cx="6200140" cy="41334"/>
          <wp:effectExtent l="0" t="0" r="0" b="0"/>
          <wp:docPr id="135" name="ETWE colour rule" descr="ETWE colour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ETWE colour rule"/>
                  <pic:cNvPicPr/>
                </pic:nvPicPr>
                <pic:blipFill>
                  <a:blip r:embed="rIdRule"/>
                  <a:stretch>
                    <a:fillRect/>
                  </a:stretch>
                </pic:blipFill>
                <pic:spPr>
                  <a:xfrm>
                    <a:off x="0" y="0"/>
                    <a:ext cx="6200140" cy="41334"/>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8" w:space="3" w:color="E3A23B"/>
      </w:pBdr>
      <w:spacing w:before="280" w:after="120"/>
      <w:outlineLvl w:val="0"/>
    </w:pPr>
    <w:rPr>
      <w:rFonts w:asciiTheme="majorHAnsi" w:eastAsiaTheme="majorEastAsia" w:hAnsiTheme="majorHAnsi" w:cstheme="majorBidi" w:ascii="Aptos Display" w:hAnsi="Aptos Display"/>
      <w:b/>
      <w:bCs/>
      <w:color w:val="1B2836"/>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B5433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1B283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val="0"/>
      <w:iCs/>
      <w:color w:val="5B667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Graphic" Type="http://schemas.openxmlformats.org/officeDocument/2006/relationships/image" Target="media/policy_graphic.png"/></Relationships>
</file>

<file path=word/_rels/footer1.xml.rels><?xml version="1.0" encoding="UTF-8" standalone="yes"?><Relationships xmlns="http://schemas.openxmlformats.org/package/2006/relationships"><Relationship Id="rIdRule" Type="http://schemas.openxmlformats.org/officeDocument/2006/relationships/image" Target="media/etwe_rule.png"/></Relationships>
</file>

<file path=word/_rels/header1.xml.rels><?xml version="1.0" encoding="UTF-8" standalone="yes"?><Relationships xmlns="http://schemas.openxmlformats.org/package/2006/relationships"><Relationship Id="rIdLogo" Type="http://schemas.openxmlformats.org/officeDocument/2006/relationships/image" Target="media/etwe_logo.png"/><Relationship Id="rIdRule" Type="http://schemas.openxmlformats.org/officeDocument/2006/relationships/image" Target="media/etwe_rul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